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6A79C5"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222A24E" w14:textId="6008522A" w:rsidR="001B7FD2" w:rsidRDefault="006A79C5" w:rsidP="00170AF8">
      <w:pPr>
        <w:spacing w:line="276" w:lineRule="auto"/>
        <w:jc w:val="center"/>
        <w:rPr>
          <w:b/>
          <w:noProof/>
        </w:rPr>
      </w:pPr>
      <w:r>
        <w:rPr>
          <w:b/>
        </w:rPr>
        <w:t xml:space="preserve">na wdrożenie i uruchomienie na uczelni platformy e-learningowej celem zniwelowania bariery dostępności kształcenia dla studentów z niepełnosprawnościami </w:t>
      </w:r>
      <w:r>
        <w:rPr>
          <w:b/>
          <w:noProof/>
        </w:rPr>
        <w:t>w ramach projektu pn. „PSW w Jaśle – Uczelnią bez barier”</w:t>
      </w:r>
      <w:r>
        <w:rPr>
          <w:b/>
          <w:noProof/>
          <w:sz w:val="22"/>
          <w:szCs w:val="22"/>
        </w:rPr>
        <w:t>,</w:t>
      </w: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7856C311" w:rsidR="009908B2" w:rsidRDefault="00CA1785" w:rsidP="0052345B">
      <w:pPr>
        <w:ind w:left="6237"/>
      </w:pPr>
      <w:r>
        <w:t xml:space="preserve">           </w:t>
      </w:r>
      <w:r w:rsidR="00170AF8">
        <w:t xml:space="preserve">    </w:t>
      </w:r>
      <w:r w:rsidR="006A79C5">
        <w:t>06</w:t>
      </w:r>
      <w:r w:rsidR="009908B2" w:rsidRPr="00E51F1C">
        <w:t>.</w:t>
      </w:r>
      <w:r w:rsidR="00170AF8">
        <w:t>0</w:t>
      </w:r>
      <w:r w:rsidR="006A79C5">
        <w:t>4</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89138C">
      <w:pPr>
        <w:pStyle w:val="Nagwek1"/>
      </w:pPr>
      <w:bookmarkStart w:id="0" w:name="_Toc258314242"/>
      <w:r>
        <w:lastRenderedPageBreak/>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proofErr w:type="spellStart"/>
      <w:r w:rsidRPr="00D34D17">
        <w:rPr>
          <w:lang w:val="pl-PL"/>
        </w:rPr>
        <w:t>Findysza</w:t>
      </w:r>
      <w:proofErr w:type="spellEnd"/>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89138C">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89138C">
      <w:pPr>
        <w:pStyle w:val="Nagwek1"/>
      </w:pPr>
      <w:bookmarkStart w:id="1" w:name="_Toc258314244"/>
      <w:r w:rsidRPr="007731F5">
        <w:t>Opis przedmiotu zamówienia</w:t>
      </w:r>
      <w:bookmarkEnd w:id="1"/>
    </w:p>
    <w:p w14:paraId="09FFAB0A" w14:textId="0D377D30" w:rsidR="00F6783B" w:rsidRPr="00415DF3" w:rsidRDefault="004F03B8" w:rsidP="00F6783B">
      <w:pPr>
        <w:pStyle w:val="Nagwek2"/>
        <w:rPr>
          <w:bCs/>
          <w:color w:val="FF0000"/>
        </w:rPr>
      </w:pPr>
      <w:r w:rsidRPr="008220AE">
        <w:t>Przedm</w:t>
      </w:r>
      <w:r w:rsidR="00FC1A92" w:rsidRPr="008220AE">
        <w:t>iotem zamówienia jest</w:t>
      </w:r>
      <w:r w:rsidR="008220AE" w:rsidRPr="008220AE">
        <w:rPr>
          <w:lang w:val="pl-PL"/>
        </w:rPr>
        <w:t xml:space="preserve"> </w:t>
      </w:r>
      <w:r w:rsidR="006A79C5" w:rsidRPr="006A79C5">
        <w:rPr>
          <w:bCs/>
        </w:rPr>
        <w:t>wdrożenie i uruchomienie na uczelni platformy e-learningowej celem zniwelowania bariery dostępności kształcenia dla studentów z niepełnosprawnościami</w:t>
      </w:r>
      <w:r w:rsidR="00F6783B" w:rsidRPr="00F6783B">
        <w:rPr>
          <w:bCs/>
        </w:rPr>
        <w:t xml:space="preserve"> </w:t>
      </w:r>
      <w:r w:rsidR="00F6783B" w:rsidRPr="00F6783B">
        <w:rPr>
          <w:bCs/>
          <w:noProof/>
        </w:rPr>
        <w:t>w ramach projektu pn. „PSW w Jaśle – Uczelnią bez barier”</w:t>
      </w:r>
      <w:r w:rsidR="00415DF3">
        <w:rPr>
          <w:bCs/>
          <w:noProof/>
          <w:lang w:val="pl-PL"/>
        </w:rPr>
        <w:t xml:space="preserve">. </w:t>
      </w:r>
    </w:p>
    <w:p w14:paraId="411AC981" w14:textId="77777777" w:rsidR="006A79C5" w:rsidRDefault="006A79C5" w:rsidP="00415DF3">
      <w:pPr>
        <w:pStyle w:val="Nagwek2"/>
        <w:numPr>
          <w:ilvl w:val="0"/>
          <w:numId w:val="0"/>
        </w:numPr>
        <w:ind w:left="567"/>
        <w:rPr>
          <w:bCs/>
          <w:noProof/>
          <w:lang w:val="pl-PL"/>
        </w:rPr>
      </w:pPr>
    </w:p>
    <w:p w14:paraId="732EBE3A" w14:textId="5461A599" w:rsidR="00415DF3" w:rsidRPr="00F6783B" w:rsidRDefault="00415DF3" w:rsidP="00415DF3">
      <w:pPr>
        <w:pStyle w:val="Nagwek2"/>
        <w:numPr>
          <w:ilvl w:val="0"/>
          <w:numId w:val="0"/>
        </w:numPr>
        <w:ind w:left="567"/>
        <w:rPr>
          <w:bCs/>
          <w:color w:val="FF0000"/>
        </w:rPr>
      </w:pPr>
      <w:r>
        <w:rPr>
          <w:bCs/>
          <w:noProof/>
          <w:lang w:val="pl-PL"/>
        </w:rPr>
        <w:t>Wymagany okres gwarancji: 12 miesięcy.</w:t>
      </w:r>
    </w:p>
    <w:p w14:paraId="1101B815" w14:textId="77777777" w:rsidR="00F6783B" w:rsidRPr="00F6783B" w:rsidRDefault="00F6783B" w:rsidP="001B2DDA">
      <w:pPr>
        <w:pStyle w:val="Nagwek2"/>
        <w:numPr>
          <w:ilvl w:val="0"/>
          <w:numId w:val="0"/>
        </w:numPr>
        <w:ind w:left="567"/>
        <w:rPr>
          <w:bCs/>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3686BFFE" w14:textId="77777777" w:rsidR="00B10562" w:rsidRDefault="00B10562" w:rsidP="00B10562">
      <w:pPr>
        <w:pStyle w:val="Nagwek2"/>
        <w:numPr>
          <w:ilvl w:val="0"/>
          <w:numId w:val="0"/>
        </w:numPr>
        <w:tabs>
          <w:tab w:val="left" w:pos="708"/>
        </w:tabs>
        <w:ind w:left="567"/>
        <w:rPr>
          <w:lang w:val="pl-PL"/>
        </w:rPr>
      </w:pPr>
      <w:r>
        <w:t>48000000-8</w:t>
      </w:r>
      <w:r>
        <w:rPr>
          <w:lang w:val="pl-PL"/>
        </w:rPr>
        <w:t xml:space="preserve"> </w:t>
      </w:r>
      <w:r>
        <w:t>Pakiety oprogramowania i systemy informatyczne</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w:t>
      </w:r>
      <w:proofErr w:type="spellStart"/>
      <w:r>
        <w:t>techniczno</w:t>
      </w:r>
      <w:proofErr w:type="spellEnd"/>
      <w:r>
        <w:t xml:space="preserve">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proofErr w:type="spellStart"/>
      <w:r>
        <w:t>amawiającego</w:t>
      </w:r>
      <w:proofErr w:type="spellEnd"/>
      <w:r>
        <w:t>.</w:t>
      </w:r>
    </w:p>
    <w:p w14:paraId="06125C74" w14:textId="77777777" w:rsidR="00DE35AF" w:rsidRPr="003D28C5" w:rsidRDefault="00DE35AF" w:rsidP="0089138C">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0CC460AC"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6A79C5">
        <w:rPr>
          <w:lang w:val="pl-PL"/>
        </w:rPr>
        <w:t>1</w:t>
      </w:r>
      <w:r w:rsidR="00F6783B">
        <w:rPr>
          <w:lang w:val="pl-PL"/>
        </w:rPr>
        <w:t xml:space="preserve">6 maja </w:t>
      </w:r>
      <w:r w:rsidR="008F213F">
        <w:rPr>
          <w:lang w:val="pl-PL"/>
        </w:rPr>
        <w:t xml:space="preserve">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89138C">
      <w:pPr>
        <w:pStyle w:val="Nagwek1"/>
      </w:pPr>
      <w:bookmarkStart w:id="3" w:name="_Toc258314247"/>
      <w:r w:rsidRPr="004A65BB">
        <w:lastRenderedPageBreak/>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 xml:space="preserve">podstawie Wytycznych w zakresie </w:t>
      </w:r>
      <w:proofErr w:type="spellStart"/>
      <w:r>
        <w:t>kwalifikow</w:t>
      </w:r>
      <w:r>
        <w:rPr>
          <w:lang w:val="pl-PL"/>
        </w:rPr>
        <w:t>a</w:t>
      </w:r>
      <w:r>
        <w:t>lności</w:t>
      </w:r>
      <w:proofErr w:type="spellEnd"/>
      <w:r>
        <w:t xml:space="preserve">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 xml:space="preserve">nych w punkcie 6.1 tabela </w:t>
      </w:r>
      <w:proofErr w:type="spellStart"/>
      <w:r>
        <w:t>ppkt</w:t>
      </w:r>
      <w:proofErr w:type="spellEnd"/>
      <w:r>
        <w:t xml:space="preserve">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89138C">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398B016F" w:rsidR="009632FD" w:rsidRPr="009632FD" w:rsidRDefault="00F6783B" w:rsidP="009632FD">
            <w:pPr>
              <w:jc w:val="both"/>
              <w:rPr>
                <w:b/>
                <w:bCs/>
                <w:sz w:val="22"/>
                <w:szCs w:val="22"/>
              </w:rPr>
            </w:pPr>
            <w:bookmarkStart w:id="6" w:name="_Hlk76036756"/>
            <w:r>
              <w:rPr>
                <w:b/>
                <w:bCs/>
                <w:sz w:val="22"/>
                <w:szCs w:val="22"/>
              </w:rPr>
              <w:t xml:space="preserve">Szczegółowy opis przedmiotu zamówienia </w:t>
            </w:r>
          </w:p>
          <w:p w14:paraId="1268FFEA" w14:textId="77777777" w:rsidR="009632FD" w:rsidRDefault="009632FD" w:rsidP="009632FD">
            <w:pPr>
              <w:jc w:val="both"/>
              <w:rPr>
                <w:sz w:val="22"/>
                <w:szCs w:val="22"/>
              </w:rPr>
            </w:pPr>
          </w:p>
          <w:bookmarkEnd w:id="6"/>
          <w:p w14:paraId="7B1BA59C" w14:textId="07F42187" w:rsidR="001A0811" w:rsidRDefault="00F6783B" w:rsidP="00F6783B">
            <w:pPr>
              <w:jc w:val="both"/>
              <w:rPr>
                <w:sz w:val="22"/>
                <w:szCs w:val="22"/>
              </w:rPr>
            </w:pPr>
            <w:r>
              <w:rPr>
                <w:sz w:val="22"/>
                <w:szCs w:val="22"/>
              </w:rPr>
              <w:t xml:space="preserve">Szczegółowy opis przedmiotu zamówienia podpisany przez osobę upoważnioną do składania </w:t>
            </w:r>
            <w:r w:rsidR="00415DF3">
              <w:rPr>
                <w:sz w:val="22"/>
                <w:szCs w:val="22"/>
              </w:rPr>
              <w:t>oświadczeń woli w imieniu wykonawcy</w:t>
            </w:r>
            <w:r>
              <w:rPr>
                <w:sz w:val="22"/>
                <w:szCs w:val="22"/>
              </w:rPr>
              <w:t xml:space="preserve">. </w:t>
            </w:r>
          </w:p>
          <w:p w14:paraId="11DF9A0B" w14:textId="61B86C32" w:rsidR="00F6783B" w:rsidRPr="009632FD" w:rsidRDefault="00F6783B" w:rsidP="00F6783B">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lastRenderedPageBreak/>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89138C">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71056CC1" w14:textId="77777777" w:rsidR="00DE35AF" w:rsidRPr="00876900" w:rsidRDefault="00DE35AF" w:rsidP="0089138C">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57C5A541" w:rsidR="00692960" w:rsidRPr="00F6783B" w:rsidRDefault="0051013E" w:rsidP="00F6783B">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w:t>
      </w:r>
      <w:bookmarkStart w:id="10" w:name="_Hlk99541860"/>
      <w:bookmarkStart w:id="11" w:name="_Hlk96519708"/>
      <w:r w:rsidR="00F6783B" w:rsidRPr="00BC707F">
        <w:rPr>
          <w:b/>
          <w:i/>
          <w:iCs w:val="0"/>
          <w:u w:val="single"/>
        </w:rPr>
        <w:t xml:space="preserve">na </w:t>
      </w:r>
      <w:r w:rsidR="006A79C5" w:rsidRPr="006A79C5">
        <w:rPr>
          <w:b/>
          <w:i/>
          <w:iCs w:val="0"/>
          <w:u w:val="single"/>
        </w:rPr>
        <w:t xml:space="preserve">wdrożenie i uruchomienie na uczelni platformy e-learningowej celem zniwelowania bariery dostępności kształcenia dla studentów </w:t>
      </w:r>
      <w:r w:rsidR="006A79C5">
        <w:rPr>
          <w:b/>
          <w:i/>
          <w:iCs w:val="0"/>
          <w:u w:val="single"/>
        </w:rPr>
        <w:br/>
      </w:r>
      <w:r w:rsidR="006A79C5" w:rsidRPr="006A79C5">
        <w:rPr>
          <w:b/>
          <w:i/>
          <w:iCs w:val="0"/>
          <w:u w:val="single"/>
        </w:rPr>
        <w:t>z niepełnosprawnościami</w:t>
      </w:r>
      <w:r w:rsidR="00F6783B" w:rsidRPr="00BC707F">
        <w:rPr>
          <w:b/>
          <w:i/>
          <w:iCs w:val="0"/>
          <w:u w:val="single"/>
        </w:rPr>
        <w:t xml:space="preserve"> </w:t>
      </w:r>
      <w:r w:rsidR="00F6783B" w:rsidRPr="00BC707F">
        <w:rPr>
          <w:b/>
          <w:i/>
          <w:iCs w:val="0"/>
          <w:noProof/>
          <w:u w:val="single"/>
        </w:rPr>
        <w:t>w ramach projektu pn. „PSW w Jaśle – Uczelnią bez barier”</w:t>
      </w:r>
      <w:bookmarkEnd w:id="10"/>
      <w:r w:rsidR="008F213F" w:rsidRPr="00BC707F">
        <w:rPr>
          <w:b/>
          <w:bCs/>
          <w:i/>
          <w:iCs w:val="0"/>
          <w:noProof/>
          <w:u w:val="single"/>
        </w:rPr>
        <w:t xml:space="preserve"> </w:t>
      </w:r>
      <w:bookmarkEnd w:id="11"/>
      <w:r w:rsidR="008F213F" w:rsidRPr="00BC707F">
        <w:rPr>
          <w:b/>
          <w:bCs/>
          <w:i/>
          <w:iCs w:val="0"/>
          <w:noProof/>
          <w:u w:val="single"/>
          <w:lang w:val="pl-PL"/>
        </w:rPr>
        <w:t xml:space="preserve">- </w:t>
      </w:r>
      <w:r w:rsidRPr="00BC707F">
        <w:rPr>
          <w:b/>
          <w:bCs/>
          <w:i/>
          <w:iCs w:val="0"/>
          <w:u w:val="single"/>
        </w:rPr>
        <w:t xml:space="preserve">Nie otwierać przed </w:t>
      </w:r>
      <w:r w:rsidR="006A79C5">
        <w:rPr>
          <w:b/>
          <w:bCs/>
          <w:i/>
          <w:iCs w:val="0"/>
          <w:u w:val="single"/>
          <w:lang w:val="pl-PL"/>
        </w:rPr>
        <w:t>14</w:t>
      </w:r>
      <w:r w:rsidRPr="00BC707F">
        <w:rPr>
          <w:b/>
          <w:bCs/>
          <w:i/>
          <w:iCs w:val="0"/>
          <w:u w:val="single"/>
        </w:rPr>
        <w:t>.0</w:t>
      </w:r>
      <w:r w:rsidR="00F6783B" w:rsidRPr="00BC707F">
        <w:rPr>
          <w:b/>
          <w:bCs/>
          <w:i/>
          <w:iCs w:val="0"/>
          <w:u w:val="single"/>
          <w:lang w:val="pl-PL"/>
        </w:rPr>
        <w:t>4</w:t>
      </w:r>
      <w:r w:rsidRPr="00BC707F">
        <w:rPr>
          <w:b/>
          <w:bCs/>
          <w:i/>
          <w:iCs w:val="0"/>
          <w:u w:val="single"/>
        </w:rPr>
        <w:t>.202</w:t>
      </w:r>
      <w:r w:rsidR="008F213F" w:rsidRPr="00BC707F">
        <w:rPr>
          <w:b/>
          <w:bCs/>
          <w:i/>
          <w:iCs w:val="0"/>
          <w:u w:val="single"/>
          <w:lang w:val="pl-PL"/>
        </w:rPr>
        <w:t>2</w:t>
      </w:r>
      <w:r w:rsidRPr="00BC707F">
        <w:rPr>
          <w:b/>
          <w:bCs/>
          <w:i/>
          <w:iCs w:val="0"/>
          <w:u w:val="single"/>
        </w:rPr>
        <w:t>r. godz. 10:00”</w:t>
      </w:r>
      <w:r w:rsidRPr="00F6783B">
        <w:rPr>
          <w:b/>
          <w:bCs/>
          <w:i/>
          <w:iCs w:val="0"/>
          <w:u w:val="single"/>
        </w:rPr>
        <w:t> </w:t>
      </w:r>
      <w:r w:rsidRPr="00F6783B">
        <w:rPr>
          <w:b/>
          <w:u w:val="single"/>
        </w:rPr>
        <w:t xml:space="preserve"> </w:t>
      </w:r>
      <w:r w:rsidRPr="00F6783B">
        <w:rPr>
          <w:b/>
          <w:bCs/>
        </w:rPr>
        <w:t xml:space="preserve">lub </w:t>
      </w:r>
      <w:r w:rsidRPr="00F6783B">
        <w:rPr>
          <w:b/>
          <w:bCs/>
          <w:lang w:val="pl-PL"/>
        </w:rPr>
        <w:t>przekazuje</w:t>
      </w:r>
      <w:r w:rsidR="001A0811" w:rsidRPr="00F6783B">
        <w:rPr>
          <w:b/>
          <w:bCs/>
          <w:lang w:val="pl-PL"/>
        </w:rPr>
        <w:t xml:space="preserve"> </w:t>
      </w:r>
      <w:r w:rsidR="00F07E1F" w:rsidRPr="00F6783B">
        <w:rPr>
          <w:b/>
          <w:bCs/>
          <w:lang w:val="pl-PL"/>
        </w:rPr>
        <w:t>ofertę</w:t>
      </w:r>
      <w:r w:rsidRPr="00F6783B">
        <w:rPr>
          <w:b/>
          <w:bCs/>
          <w:lang w:val="pl-PL"/>
        </w:rPr>
        <w:t xml:space="preserve"> </w:t>
      </w:r>
      <w:r w:rsidRPr="00F6783B">
        <w:rPr>
          <w:b/>
          <w:bCs/>
        </w:rPr>
        <w:t>za pośrednictwem bazy konkurencyjności</w:t>
      </w:r>
      <w:r w:rsidRPr="0051013E">
        <w:t xml:space="preserve"> (zakładka „OFERTY”) jako zeskanowane dokumenty stanowiące odwzorowanie oryginalnych dokumentów (podpisanej oferty i</w:t>
      </w:r>
      <w:r w:rsidR="0089138C">
        <w:rPr>
          <w:lang w:val="pl-PL"/>
        </w:rPr>
        <w:t> </w:t>
      </w:r>
      <w:r w:rsidRPr="0051013E">
        <w:t>wymaganych załączników) w formie 1 pliku  pdf  (</w:t>
      </w:r>
      <w:r w:rsidRPr="00F6783B">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lastRenderedPageBreak/>
        <w:t xml:space="preserve"> Wykonawca jest zobowiązany wskazać w ofercie części zamówienia, których wykonanie zamierza powierzyć podwykonawcom.  </w:t>
      </w:r>
    </w:p>
    <w:p w14:paraId="1F385C20" w14:textId="77777777" w:rsidR="00DE35AF" w:rsidRPr="00876900" w:rsidRDefault="00DE35AF" w:rsidP="0089138C">
      <w:pPr>
        <w:pStyle w:val="Nagwek1"/>
      </w:pPr>
      <w:r w:rsidRPr="00CE099A">
        <w:t>Miejsce oraz termin składania i otwarcia ofert</w:t>
      </w:r>
      <w:bookmarkEnd w:id="9"/>
    </w:p>
    <w:p w14:paraId="5032FC7C" w14:textId="1BCA7AEE" w:rsidR="0051013E" w:rsidRPr="00F07E1F" w:rsidRDefault="00D24DA2" w:rsidP="00F07E1F">
      <w:pPr>
        <w:pStyle w:val="Nagwek2"/>
      </w:pPr>
      <w:r w:rsidRPr="00CB3430">
        <w:rPr>
          <w:b/>
        </w:rPr>
        <w:t>Oferty należy składać</w:t>
      </w:r>
      <w:r w:rsidRPr="00CB3430">
        <w:t xml:space="preserve"> </w:t>
      </w:r>
      <w:r w:rsidR="0051013E">
        <w:t xml:space="preserve">w sposób opisany w pkt </w:t>
      </w:r>
      <w:r w:rsidR="0089138C">
        <w:rPr>
          <w:lang w:val="pl-PL"/>
        </w:rPr>
        <w:t>8</w:t>
      </w:r>
      <w:r w:rsidR="0051013E">
        <w:t>.</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6A79C5">
        <w:rPr>
          <w:b/>
          <w:lang w:val="pl-PL"/>
        </w:rPr>
        <w:t>14</w:t>
      </w:r>
      <w:r w:rsidR="00CA1785" w:rsidRPr="00CA1785">
        <w:rPr>
          <w:b/>
        </w:rPr>
        <w:t>.</w:t>
      </w:r>
      <w:r w:rsidR="001A0811">
        <w:rPr>
          <w:b/>
          <w:lang w:val="pl-PL"/>
        </w:rPr>
        <w:t>0</w:t>
      </w:r>
      <w:r w:rsidR="00BC707F">
        <w:rPr>
          <w:b/>
          <w:lang w:val="pl-PL"/>
        </w:rPr>
        <w:t>4</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89138C">
      <w:pPr>
        <w:pStyle w:val="Nagwek1"/>
      </w:pPr>
      <w:bookmarkStart w:id="12" w:name="_Toc258314254"/>
      <w:r w:rsidRPr="004A65BB">
        <w:t>Opis sposobu obliczenia ceny</w:t>
      </w:r>
      <w:bookmarkEnd w:id="12"/>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w:t>
      </w:r>
      <w:proofErr w:type="spellStart"/>
      <w:r w:rsidR="008F213F">
        <w:rPr>
          <w:lang w:val="pl-PL"/>
        </w:rPr>
        <w:t>późn</w:t>
      </w:r>
      <w:proofErr w:type="spellEnd"/>
      <w:r w:rsidR="008F213F">
        <w:rPr>
          <w:lang w:val="pl-PL"/>
        </w:rPr>
        <w:t>.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89138C">
      <w:pPr>
        <w:pStyle w:val="Nagwek1"/>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89138C">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proofErr w:type="spellStart"/>
      <w:r w:rsidR="00C35058" w:rsidRPr="00A246B7">
        <w:t>pl</w:t>
      </w:r>
      <w:proofErr w:type="spellEnd"/>
      <w:r w:rsidR="00C35058" w:rsidRPr="00A246B7">
        <w:t xml:space="preserve"> </w:t>
      </w:r>
      <w:r w:rsidRPr="00A246B7">
        <w:t>oraz</w:t>
      </w:r>
      <w:r>
        <w:t xml:space="preserve"> </w:t>
      </w:r>
      <w:r w:rsidR="00DF44B9" w:rsidRPr="00DF44B9">
        <w:rPr>
          <w:lang w:val="pl-PL"/>
        </w:rPr>
        <w:t>https://bazakonkurencyjnosci.funduszeeuropejskie.gov.pl</w:t>
      </w:r>
    </w:p>
    <w:p w14:paraId="3E5AC626" w14:textId="7B9DBF23"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w:t>
      </w:r>
      <w:r w:rsidR="0089138C">
        <w:rPr>
          <w:lang w:val="pl-PL"/>
        </w:rPr>
        <w:t>2</w:t>
      </w:r>
      <w:r w:rsidR="002332C7">
        <w:t>.5.</w:t>
      </w:r>
    </w:p>
    <w:p w14:paraId="3B70808A" w14:textId="77777777" w:rsidR="00BF36E4" w:rsidRPr="00C70A7E" w:rsidRDefault="002332C7" w:rsidP="0089138C">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89138C">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 xml:space="preserve">Wyższa im. bł. ks. Władysława </w:t>
      </w:r>
      <w:proofErr w:type="spellStart"/>
      <w:r w:rsidRPr="009837F9">
        <w:rPr>
          <w:b/>
        </w:rPr>
        <w:t>Findysza</w:t>
      </w:r>
      <w:proofErr w:type="spellEnd"/>
      <w:r w:rsidRPr="009837F9">
        <w:rPr>
          <w:b/>
        </w:rPr>
        <w:t xml:space="preserve">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7D0122D7" w:rsidR="00DF44B9" w:rsidRDefault="00DF44B9" w:rsidP="00BC707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 xml:space="preserve">RODO w celu związanym z postępowaniem o udzielenie zamówienia </w:t>
      </w:r>
      <w:r w:rsidR="00BC707F" w:rsidRPr="00BC707F">
        <w:rPr>
          <w:b/>
        </w:rPr>
        <w:t xml:space="preserve">na </w:t>
      </w:r>
      <w:r w:rsidR="006A79C5">
        <w:rPr>
          <w:b/>
        </w:rPr>
        <w:t>wdrożenie i uruchomienie na uczelni platformy e-learningowej celem zniwelowania bariery dostępności kształcenia dla studentów z niepełnosprawnościami</w:t>
      </w:r>
      <w:r w:rsidR="00BC707F" w:rsidRPr="00BC707F">
        <w:rPr>
          <w:b/>
        </w:rPr>
        <w:t xml:space="preserve"> </w:t>
      </w:r>
      <w:r w:rsidR="00BC707F" w:rsidRPr="00BC707F">
        <w:rPr>
          <w:b/>
          <w:noProof/>
        </w:rPr>
        <w:t>w ramach projektu pn. „PSW w Jaśle – Uczelnią bez barier”</w:t>
      </w:r>
      <w:r w:rsidR="00BC707F">
        <w:rPr>
          <w:lang w:val="pl-PL"/>
        </w:rPr>
        <w:t xml:space="preserve"> </w:t>
      </w:r>
      <w:r>
        <w:t>prowadzonym w trybie</w:t>
      </w:r>
      <w:r w:rsidRPr="00BC707F">
        <w:rPr>
          <w:lang w:val="pl-PL"/>
        </w:rPr>
        <w:t>:</w:t>
      </w:r>
      <w:r>
        <w:t xml:space="preserve"> </w:t>
      </w:r>
      <w:r w:rsidRPr="00BC707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 xml:space="preserve">inne podmioty, które na podstawie stosownych umów podpisanych z Podkarpacką Szkołą Wyższą im. bł. ks. Władysława </w:t>
      </w:r>
      <w:proofErr w:type="spellStart"/>
      <w:r w:rsidRPr="000D0D6E">
        <w:t>Findysza</w:t>
      </w:r>
      <w:proofErr w:type="spellEnd"/>
      <w:r w:rsidRPr="000D0D6E">
        <w:t xml:space="preserve"> w Jaśle przetwarzają dane osobowe dla których Administratorem jest Podkarpacka Szkoła Wyższa im. bł. ks. Władysława </w:t>
      </w:r>
      <w:proofErr w:type="spellStart"/>
      <w:r w:rsidRPr="000D0D6E">
        <w:t>Findysza</w:t>
      </w:r>
      <w:proofErr w:type="spellEnd"/>
      <w:r w:rsidRPr="000D0D6E">
        <w:t xml:space="preserve">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lastRenderedPageBreak/>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3E37" w14:textId="77777777" w:rsidR="0053296A" w:rsidRDefault="0053296A">
      <w:r>
        <w:separator/>
      </w:r>
    </w:p>
  </w:endnote>
  <w:endnote w:type="continuationSeparator" w:id="0">
    <w:p w14:paraId="7A5A13AD" w14:textId="77777777" w:rsidR="0053296A" w:rsidRDefault="0053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2B7C" w14:textId="77777777" w:rsidR="0053296A" w:rsidRDefault="0053296A">
      <w:r>
        <w:separator/>
      </w:r>
    </w:p>
  </w:footnote>
  <w:footnote w:type="continuationSeparator" w:id="0">
    <w:p w14:paraId="47E7DEDC" w14:textId="77777777" w:rsidR="0053296A" w:rsidRDefault="00532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BED21E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16cid:durableId="411657077">
    <w:abstractNumId w:val="35"/>
  </w:num>
  <w:num w:numId="2" w16cid:durableId="440683653">
    <w:abstractNumId w:val="38"/>
  </w:num>
  <w:num w:numId="3" w16cid:durableId="1240793502">
    <w:abstractNumId w:val="33"/>
  </w:num>
  <w:num w:numId="4" w16cid:durableId="146171427">
    <w:abstractNumId w:val="29"/>
  </w:num>
  <w:num w:numId="5" w16cid:durableId="500392581">
    <w:abstractNumId w:val="35"/>
    <w:lvlOverride w:ilvl="0">
      <w:startOverride w:val="13"/>
    </w:lvlOverride>
    <w:lvlOverride w:ilvl="1">
      <w:startOverride w:val="3"/>
    </w:lvlOverride>
  </w:num>
  <w:num w:numId="6" w16cid:durableId="128521635">
    <w:abstractNumId w:val="59"/>
  </w:num>
  <w:num w:numId="7" w16cid:durableId="1449469213">
    <w:abstractNumId w:val="26"/>
  </w:num>
  <w:num w:numId="8" w16cid:durableId="1711802342">
    <w:abstractNumId w:val="49"/>
  </w:num>
  <w:num w:numId="9" w16cid:durableId="1208372859">
    <w:abstractNumId w:val="30"/>
  </w:num>
  <w:num w:numId="10" w16cid:durableId="942567398">
    <w:abstractNumId w:val="28"/>
  </w:num>
  <w:num w:numId="11" w16cid:durableId="586424467">
    <w:abstractNumId w:val="52"/>
  </w:num>
  <w:num w:numId="12" w16cid:durableId="988284137">
    <w:abstractNumId w:val="31"/>
  </w:num>
  <w:num w:numId="13" w16cid:durableId="145053496">
    <w:abstractNumId w:val="41"/>
  </w:num>
  <w:num w:numId="14" w16cid:durableId="633026226">
    <w:abstractNumId w:val="32"/>
  </w:num>
  <w:num w:numId="15" w16cid:durableId="407654613">
    <w:abstractNumId w:val="21"/>
  </w:num>
  <w:num w:numId="16" w16cid:durableId="387531589">
    <w:abstractNumId w:val="27"/>
  </w:num>
  <w:num w:numId="17" w16cid:durableId="264844066">
    <w:abstractNumId w:val="20"/>
  </w:num>
  <w:num w:numId="18" w16cid:durableId="204197400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7143966">
    <w:abstractNumId w:val="0"/>
  </w:num>
  <w:num w:numId="20" w16cid:durableId="129252500">
    <w:abstractNumId w:val="1"/>
  </w:num>
  <w:num w:numId="21" w16cid:durableId="917789241">
    <w:abstractNumId w:val="2"/>
  </w:num>
  <w:num w:numId="22" w16cid:durableId="2125270573">
    <w:abstractNumId w:val="58"/>
  </w:num>
  <w:num w:numId="23" w16cid:durableId="565459152">
    <w:abstractNumId w:val="25"/>
  </w:num>
  <w:num w:numId="24" w16cid:durableId="1488978303">
    <w:abstractNumId w:val="44"/>
  </w:num>
  <w:num w:numId="25" w16cid:durableId="1428043581">
    <w:abstractNumId w:val="34"/>
  </w:num>
  <w:num w:numId="26" w16cid:durableId="1713001088">
    <w:abstractNumId w:val="42"/>
  </w:num>
  <w:num w:numId="27" w16cid:durableId="1199008970">
    <w:abstractNumId w:val="36"/>
  </w:num>
  <w:num w:numId="28" w16cid:durableId="719786450">
    <w:abstractNumId w:val="50"/>
  </w:num>
  <w:num w:numId="29" w16cid:durableId="1550336593">
    <w:abstractNumId w:val="24"/>
  </w:num>
  <w:num w:numId="30" w16cid:durableId="1442920834">
    <w:abstractNumId w:val="57"/>
  </w:num>
  <w:num w:numId="31" w16cid:durableId="618801821">
    <w:abstractNumId w:val="46"/>
  </w:num>
  <w:num w:numId="32" w16cid:durableId="631518450">
    <w:abstractNumId w:val="19"/>
  </w:num>
  <w:num w:numId="33" w16cid:durableId="704014909">
    <w:abstractNumId w:val="48"/>
  </w:num>
  <w:num w:numId="34" w16cid:durableId="1092551491">
    <w:abstractNumId w:val="51"/>
  </w:num>
  <w:num w:numId="35" w16cid:durableId="176309297">
    <w:abstractNumId w:val="56"/>
  </w:num>
  <w:num w:numId="36" w16cid:durableId="1829595834">
    <w:abstractNumId w:val="45"/>
  </w:num>
  <w:num w:numId="37" w16cid:durableId="1925989617">
    <w:abstractNumId w:val="37"/>
  </w:num>
  <w:num w:numId="38" w16cid:durableId="1802066995">
    <w:abstractNumId w:val="47"/>
  </w:num>
  <w:num w:numId="39" w16cid:durableId="1837765340">
    <w:abstractNumId w:val="23"/>
  </w:num>
  <w:num w:numId="40" w16cid:durableId="737436231">
    <w:abstractNumId w:val="40"/>
  </w:num>
  <w:num w:numId="41" w16cid:durableId="503595334">
    <w:abstractNumId w:val="39"/>
  </w:num>
  <w:num w:numId="42" w16cid:durableId="2062822186">
    <w:abstractNumId w:val="17"/>
  </w:num>
  <w:num w:numId="43" w16cid:durableId="1901015220">
    <w:abstractNumId w:val="18"/>
  </w:num>
  <w:num w:numId="44" w16cid:durableId="21374788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189603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2069218">
    <w:abstractNumId w:val="54"/>
  </w:num>
  <w:num w:numId="47" w16cid:durableId="1067538108">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7425D"/>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5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15DF3"/>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296A"/>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A79C5"/>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267E4"/>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138C"/>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AA0"/>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0562"/>
    <w:rsid w:val="00B112E6"/>
    <w:rsid w:val="00B117DE"/>
    <w:rsid w:val="00B12D86"/>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07F"/>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50A4D"/>
    <w:rsid w:val="00F5213D"/>
    <w:rsid w:val="00F61085"/>
    <w:rsid w:val="00F6503D"/>
    <w:rsid w:val="00F65ACD"/>
    <w:rsid w:val="00F6783B"/>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89138C"/>
    <w:pPr>
      <w:keepNext/>
      <w:numPr>
        <w:numId w:val="1"/>
      </w:numPr>
      <w:tabs>
        <w:tab w:val="clear" w:pos="432"/>
        <w:tab w:val="num" w:pos="284"/>
      </w:tabs>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89138C"/>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983507516">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397</TotalTime>
  <Pages>9</Pages>
  <Words>3161</Words>
  <Characters>18970</Characters>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22087</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2022-04-06T11:59:00Z</dcterms:modified>
</cp:coreProperties>
</file>